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EE14C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P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стоимостью 3 млрд. рублей и более.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>, утвержденная Комитетом по тарифам</w:t>
      </w:r>
      <w:r w:rsidR="00EE14CB">
        <w:rPr>
          <w:rFonts w:ascii="Times New Roman" w:hAnsi="Times New Roman" w:cs="Times New Roman"/>
          <w:sz w:val="28"/>
          <w:szCs w:val="28"/>
        </w:rPr>
        <w:t xml:space="preserve"> и ценовой политике Ленинградской области и Комитетом по топливно-энергетическому комплексу 10.03.2014г.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7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4 млрд. руб. с НДС.</w:t>
      </w:r>
      <w:proofErr w:type="gramEnd"/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7г.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 не требовалось и в 201</w:t>
      </w:r>
      <w:r w:rsidR="00EE14C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  <w:proofErr w:type="gramEnd"/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D7139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5</cp:revision>
  <dcterms:created xsi:type="dcterms:W3CDTF">2016-04-15T05:56:00Z</dcterms:created>
  <dcterms:modified xsi:type="dcterms:W3CDTF">2017-07-27T11:02:00Z</dcterms:modified>
</cp:coreProperties>
</file>